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D85" w:rsidRDefault="00BF2D85" w:rsidP="00966EAD">
      <w:pPr>
        <w:spacing w:line="240" w:lineRule="auto"/>
        <w:jc w:val="center"/>
        <w:rPr>
          <w:rFonts w:ascii="Times New Roman" w:hAnsi="Times New Roman"/>
          <w:b/>
          <w:sz w:val="32"/>
          <w:szCs w:val="32"/>
        </w:rPr>
      </w:pPr>
      <w:r>
        <w:rPr>
          <w:rFonts w:ascii="Times New Roman" w:hAnsi="Times New Roman"/>
          <w:b/>
          <w:sz w:val="32"/>
          <w:szCs w:val="32"/>
        </w:rPr>
        <w:t>«Деревянные д</w:t>
      </w:r>
      <w:r w:rsidRPr="00966EAD">
        <w:rPr>
          <w:rFonts w:ascii="Times New Roman" w:hAnsi="Times New Roman"/>
          <w:b/>
          <w:sz w:val="32"/>
          <w:szCs w:val="32"/>
        </w:rPr>
        <w:t xml:space="preserve">уховые инструменты </w:t>
      </w:r>
    </w:p>
    <w:p w:rsidR="00BF2D85" w:rsidRDefault="00BF2D85" w:rsidP="00966EAD">
      <w:pPr>
        <w:spacing w:line="240" w:lineRule="auto"/>
        <w:jc w:val="center"/>
        <w:rPr>
          <w:rFonts w:ascii="Times New Roman" w:hAnsi="Times New Roman"/>
          <w:b/>
          <w:sz w:val="32"/>
          <w:szCs w:val="32"/>
        </w:rPr>
      </w:pPr>
      <w:r w:rsidRPr="00966EAD">
        <w:rPr>
          <w:rFonts w:ascii="Times New Roman" w:hAnsi="Times New Roman"/>
          <w:b/>
          <w:sz w:val="32"/>
          <w:szCs w:val="32"/>
        </w:rPr>
        <w:t>в ансамбле</w:t>
      </w:r>
      <w:r>
        <w:rPr>
          <w:rFonts w:ascii="Times New Roman" w:hAnsi="Times New Roman"/>
          <w:b/>
          <w:sz w:val="32"/>
          <w:szCs w:val="32"/>
        </w:rPr>
        <w:t xml:space="preserve"> народных инструментов</w:t>
      </w:r>
      <w:r w:rsidRPr="00966EAD">
        <w:rPr>
          <w:rFonts w:ascii="Times New Roman" w:hAnsi="Times New Roman"/>
          <w:b/>
          <w:sz w:val="32"/>
          <w:szCs w:val="32"/>
        </w:rPr>
        <w:t>:</w:t>
      </w:r>
    </w:p>
    <w:p w:rsidR="00BF2D85" w:rsidRDefault="00BF2D85" w:rsidP="00966EAD">
      <w:pPr>
        <w:spacing w:line="240" w:lineRule="auto"/>
        <w:jc w:val="center"/>
        <w:rPr>
          <w:rFonts w:ascii="Times New Roman" w:hAnsi="Times New Roman"/>
          <w:b/>
          <w:sz w:val="32"/>
          <w:szCs w:val="32"/>
        </w:rPr>
      </w:pPr>
      <w:r w:rsidRPr="00966EAD">
        <w:rPr>
          <w:rFonts w:ascii="Times New Roman" w:hAnsi="Times New Roman"/>
          <w:b/>
          <w:sz w:val="32"/>
          <w:szCs w:val="32"/>
        </w:rPr>
        <w:t>тенденции и перспективы развития в ДМШ.</w:t>
      </w:r>
      <w:r>
        <w:rPr>
          <w:rFonts w:ascii="Times New Roman" w:hAnsi="Times New Roman"/>
          <w:b/>
          <w:sz w:val="32"/>
          <w:szCs w:val="32"/>
        </w:rPr>
        <w:t>»</w:t>
      </w:r>
    </w:p>
    <w:p w:rsidR="00BF2D85" w:rsidRDefault="00BF2D85" w:rsidP="00014265">
      <w:pPr>
        <w:pStyle w:val="p13"/>
        <w:spacing w:line="360" w:lineRule="auto"/>
        <w:ind w:firstLine="680"/>
        <w:jc w:val="right"/>
        <w:rPr>
          <w:b/>
          <w:i/>
          <w:sz w:val="28"/>
          <w:szCs w:val="28"/>
        </w:rPr>
      </w:pPr>
    </w:p>
    <w:p w:rsidR="00BF2D85" w:rsidRDefault="00BF2D85" w:rsidP="00014265">
      <w:pPr>
        <w:pStyle w:val="p13"/>
        <w:spacing w:before="0" w:beforeAutospacing="0" w:after="0" w:afterAutospacing="0" w:line="360" w:lineRule="auto"/>
        <w:ind w:firstLine="680"/>
        <w:jc w:val="right"/>
        <w:rPr>
          <w:sz w:val="28"/>
          <w:szCs w:val="28"/>
        </w:rPr>
      </w:pPr>
      <w:r>
        <w:rPr>
          <w:sz w:val="28"/>
          <w:szCs w:val="28"/>
        </w:rPr>
        <w:t>Номинация</w:t>
      </w:r>
    </w:p>
    <w:p w:rsidR="00BF2D85" w:rsidRDefault="00BF2D85" w:rsidP="00014265">
      <w:pPr>
        <w:pStyle w:val="p13"/>
        <w:spacing w:before="0" w:beforeAutospacing="0" w:after="0" w:afterAutospacing="0" w:line="360" w:lineRule="auto"/>
        <w:ind w:firstLine="680"/>
        <w:jc w:val="right"/>
        <w:rPr>
          <w:sz w:val="28"/>
          <w:szCs w:val="28"/>
        </w:rPr>
      </w:pPr>
      <w:r>
        <w:rPr>
          <w:sz w:val="28"/>
          <w:szCs w:val="28"/>
        </w:rPr>
        <w:t xml:space="preserve"> Учебно-методические работы,</w:t>
      </w:r>
    </w:p>
    <w:p w:rsidR="00BF2D85" w:rsidRDefault="00BF2D85" w:rsidP="00014265">
      <w:pPr>
        <w:pStyle w:val="p13"/>
        <w:spacing w:before="0" w:beforeAutospacing="0" w:after="0" w:afterAutospacing="0" w:line="360" w:lineRule="auto"/>
        <w:jc w:val="right"/>
        <w:rPr>
          <w:sz w:val="28"/>
          <w:szCs w:val="28"/>
        </w:rPr>
      </w:pPr>
      <w:r>
        <w:rPr>
          <w:sz w:val="28"/>
          <w:szCs w:val="28"/>
        </w:rPr>
        <w:t>статья</w:t>
      </w:r>
    </w:p>
    <w:p w:rsidR="00BF2D85" w:rsidRDefault="00BF2D85" w:rsidP="00014265">
      <w:pPr>
        <w:pStyle w:val="p13"/>
        <w:spacing w:before="0" w:beforeAutospacing="0" w:after="0" w:afterAutospacing="0" w:line="360" w:lineRule="auto"/>
        <w:jc w:val="right"/>
        <w:rPr>
          <w:sz w:val="28"/>
          <w:szCs w:val="28"/>
        </w:rPr>
      </w:pPr>
      <w:r>
        <w:rPr>
          <w:sz w:val="28"/>
          <w:szCs w:val="28"/>
        </w:rPr>
        <w:t xml:space="preserve"> Ферапонтова Инна Григорьевна</w:t>
      </w:r>
    </w:p>
    <w:p w:rsidR="00BF2D85" w:rsidRDefault="00BF2D85" w:rsidP="00014265">
      <w:pPr>
        <w:pStyle w:val="p13"/>
        <w:spacing w:before="0" w:beforeAutospacing="0" w:after="0" w:afterAutospacing="0" w:line="360" w:lineRule="auto"/>
        <w:jc w:val="right"/>
        <w:rPr>
          <w:sz w:val="28"/>
          <w:szCs w:val="28"/>
        </w:rPr>
      </w:pPr>
      <w:r>
        <w:rPr>
          <w:sz w:val="28"/>
          <w:szCs w:val="28"/>
        </w:rPr>
        <w:t xml:space="preserve"> преподаватель народных инструментов</w:t>
      </w:r>
    </w:p>
    <w:p w:rsidR="00BF2D85" w:rsidRDefault="00BF2D85" w:rsidP="00014265">
      <w:pPr>
        <w:pStyle w:val="p13"/>
        <w:spacing w:before="0" w:beforeAutospacing="0" w:after="0" w:afterAutospacing="0" w:line="360" w:lineRule="auto"/>
        <w:ind w:firstLine="680"/>
        <w:jc w:val="right"/>
        <w:rPr>
          <w:sz w:val="28"/>
          <w:szCs w:val="28"/>
        </w:rPr>
      </w:pPr>
      <w:r>
        <w:rPr>
          <w:sz w:val="28"/>
          <w:szCs w:val="28"/>
        </w:rPr>
        <w:t>89509478828</w:t>
      </w:r>
    </w:p>
    <w:p w:rsidR="00BF2D85" w:rsidRDefault="00BF2D85" w:rsidP="00014265">
      <w:pPr>
        <w:spacing w:line="240" w:lineRule="auto"/>
        <w:jc w:val="right"/>
        <w:rPr>
          <w:rFonts w:ascii="Times New Roman" w:hAnsi="Times New Roman"/>
          <w:b/>
          <w:sz w:val="32"/>
          <w:szCs w:val="32"/>
        </w:rPr>
      </w:pPr>
      <w:hyperlink r:id="rId5" w:history="1">
        <w:r>
          <w:rPr>
            <w:rStyle w:val="Hyperlink"/>
            <w:sz w:val="28"/>
            <w:szCs w:val="28"/>
            <w:lang w:val="en-US"/>
          </w:rPr>
          <w:t>Ya.innafer05-08@ya.ru</w:t>
        </w:r>
      </w:hyperlink>
    </w:p>
    <w:p w:rsidR="00BF2D85" w:rsidRDefault="00BF2D85" w:rsidP="007447C6">
      <w:pPr>
        <w:spacing w:before="120" w:after="100" w:afterAutospacing="1" w:line="240" w:lineRule="auto"/>
        <w:contextualSpacing/>
        <w:jc w:val="both"/>
        <w:rPr>
          <w:rFonts w:ascii="Times New Roman" w:hAnsi="Times New Roman"/>
          <w:sz w:val="28"/>
          <w:szCs w:val="28"/>
          <w:lang w:eastAsia="ru-RU"/>
        </w:rPr>
      </w:pPr>
      <w:r w:rsidRPr="007447C6">
        <w:rPr>
          <w:rFonts w:ascii="Times New Roman" w:hAnsi="Times New Roman"/>
          <w:sz w:val="28"/>
          <w:szCs w:val="28"/>
        </w:rPr>
        <w:t xml:space="preserve">       Важнейшей задачей образования в нашей стране является всестороннее развитие молодого поколения. Сейчас, когда широко развита электроника и техника, когда интернет глубоко укоренился в человеческом сознании, молодое поколение, школьники всё больше отдаляются от искусства и замыкаются на компьютерных развлечениях. Всё меньше можно найти ребят, увлечённых музыкой. Особую актуальность сейчас приобретает проблема тенденции к снижению художественно-творческого уровня в музыкальном творчестве.</w:t>
      </w:r>
      <w:r w:rsidRPr="007447C6">
        <w:rPr>
          <w:rFonts w:ascii="Times New Roman" w:hAnsi="Times New Roman"/>
          <w:sz w:val="28"/>
          <w:szCs w:val="28"/>
          <w:lang w:eastAsia="ru-RU"/>
        </w:rPr>
        <w:t xml:space="preserve"> </w:t>
      </w:r>
    </w:p>
    <w:p w:rsidR="00BF2D85" w:rsidRPr="007447C6" w:rsidRDefault="00BF2D85" w:rsidP="007447C6">
      <w:pPr>
        <w:spacing w:before="120" w:after="100" w:afterAutospacing="1" w:line="240" w:lineRule="auto"/>
        <w:contextualSpacing/>
        <w:jc w:val="both"/>
        <w:rPr>
          <w:rFonts w:ascii="Times New Roman" w:hAnsi="Times New Roman"/>
          <w:sz w:val="28"/>
          <w:szCs w:val="28"/>
          <w:lang w:eastAsia="ru-RU"/>
        </w:rPr>
      </w:pPr>
      <w:r>
        <w:rPr>
          <w:rFonts w:ascii="Times New Roman" w:hAnsi="Times New Roman"/>
          <w:sz w:val="28"/>
          <w:szCs w:val="28"/>
        </w:rPr>
        <w:t xml:space="preserve">     </w:t>
      </w:r>
      <w:r w:rsidRPr="007447C6">
        <w:rPr>
          <w:rFonts w:ascii="Times New Roman" w:hAnsi="Times New Roman"/>
          <w:sz w:val="28"/>
          <w:szCs w:val="28"/>
        </w:rPr>
        <w:t>Значительный вклад в решение этой проблемы вносят детские музыкальные школы, школы искусств, где дети через мир искусства постигают богатство человеческого духа, учатся мыслить, искать, творить. Очень важно, чтобы каждому была привита любовь к музыке, чтобы каждый, независимо от того, станет он профессионалом или нет, научился передавать свои переживания, мысли языком музыки и понимать её.</w:t>
      </w:r>
    </w:p>
    <w:p w:rsidR="00BF2D85" w:rsidRPr="007447C6" w:rsidRDefault="00BF2D85" w:rsidP="00E12F98">
      <w:pPr>
        <w:spacing w:after="0" w:line="240" w:lineRule="auto"/>
        <w:contextualSpacing/>
        <w:jc w:val="both"/>
        <w:rPr>
          <w:rFonts w:ascii="Times New Roman" w:hAnsi="Times New Roman"/>
          <w:sz w:val="28"/>
          <w:szCs w:val="28"/>
          <w:lang w:eastAsia="ru-RU"/>
        </w:rPr>
      </w:pPr>
      <w:r w:rsidRPr="007447C6">
        <w:rPr>
          <w:rFonts w:ascii="Times New Roman" w:hAnsi="Times New Roman"/>
          <w:sz w:val="28"/>
          <w:szCs w:val="28"/>
        </w:rPr>
        <w:t xml:space="preserve">          </w:t>
      </w:r>
      <w:r w:rsidRPr="007447C6">
        <w:rPr>
          <w:rFonts w:ascii="Times New Roman" w:hAnsi="Times New Roman"/>
          <w:sz w:val="28"/>
          <w:szCs w:val="28"/>
          <w:lang w:eastAsia="ru-RU"/>
        </w:rPr>
        <w:t xml:space="preserve">В результате исследования состояния образовательного процесса на отделениях духовых инструментов в учреждениях дополнительного образования </w:t>
      </w:r>
      <w:r>
        <w:rPr>
          <w:rFonts w:ascii="Times New Roman" w:hAnsi="Times New Roman"/>
          <w:sz w:val="28"/>
          <w:szCs w:val="28"/>
          <w:lang w:eastAsia="ru-RU"/>
        </w:rPr>
        <w:t xml:space="preserve">выявляются </w:t>
      </w:r>
      <w:r w:rsidRPr="007447C6">
        <w:rPr>
          <w:rFonts w:ascii="Times New Roman" w:hAnsi="Times New Roman"/>
          <w:sz w:val="28"/>
          <w:szCs w:val="28"/>
          <w:lang w:eastAsia="ru-RU"/>
        </w:rPr>
        <w:t xml:space="preserve">основные тенденции: снижение интереса к инструменту у учащихся средних классов, профессиональной мотивированности исполнителей на духовых инструментах к концу обучения в учреждениях дополнительного образования, несоответствие музыкально-исполнительской компетентности выпускников требованиям профессиональной сферы. </w:t>
      </w:r>
    </w:p>
    <w:p w:rsidR="00BF2D85" w:rsidRPr="007447C6" w:rsidRDefault="00BF2D85" w:rsidP="00E12F98">
      <w:pPr>
        <w:pStyle w:val="a"/>
        <w:spacing w:line="240" w:lineRule="auto"/>
        <w:ind w:firstLine="0"/>
      </w:pPr>
      <w:r>
        <w:t xml:space="preserve">          </w:t>
      </w:r>
      <w:r w:rsidRPr="007447C6">
        <w:t>Преодолению этой тенденции во многом способствует и правильная организация музыкального воспитания. Учебный процесс должен быть творческим, тогда ученики, не обладающие яркими музыкальными данными, не уйдут из школы, не окончив её, как это иногда случается, они не утратят интерес к музыке. Для достижения этой цели используются индивидуальные и коллективные формы работы с детьми. На индивидуальных занятиях преподаватель имеет возможность сконцентрироваться на одном ребенке, глубже узнать его личностные качества, особенности и на основе этого планировать и проводить работу по развитию индивидуальных способностей, профессиональных навыков и мировоззрения. Коллективные занятия учат ребят работать сообща, соотносить свое «Я» и общие цели. Только в коллективе достигается единство «хочу» и «надо».  Ансамблевое музицирование  активно вовлекает ребят в творчество, оказывает воздействие на его внутренний мир, психологические установки, эмоционально-нравственную культуру. Ансамбль выступает как фактор, формирующий такие стороны поведения ребят, как добрые взаимоотношения с окружающими, культуру речевого общения, внешний облик, умение и желание разумно и интересно проводить свой досуг, следить за собой.  Занятия музыкой, коллективная деятельность на занятиях и концертах – всё это делает ребят лучше, красивее, они учатся держать себя в обществе, внимательно относиться к живущим рядом людям.</w:t>
      </w:r>
    </w:p>
    <w:p w:rsidR="00BF2D85" w:rsidRPr="007447C6" w:rsidRDefault="00BF2D85" w:rsidP="007447C6">
      <w:pPr>
        <w:pStyle w:val="a"/>
        <w:spacing w:line="240" w:lineRule="auto"/>
        <w:ind w:firstLine="0"/>
      </w:pPr>
      <w:r>
        <w:t xml:space="preserve">        </w:t>
      </w:r>
      <w:r w:rsidRPr="007447C6">
        <w:t>Цель, которая ставится перед любым ансамблем – не столько научить играть на инструменте, вырастить будущую знаменитость, сколько создать такую среду, где бы ребенок развивался как личность, развивались его способности и дарования. Засевая ум наших детей семенами мудрости и добродетелей, мы воспитываем, прежде всего, добрых и порядочных людей. Музыка делает жизнь ребят наполненной, осмысленной. Она вводит в мир прекрасного, учит жить по законам красоты, по-новому воспринимать действительность.</w:t>
      </w:r>
    </w:p>
    <w:p w:rsidR="00BF2D85" w:rsidRPr="007447C6" w:rsidRDefault="00BF2D85" w:rsidP="00E12F98">
      <w:pPr>
        <w:pStyle w:val="a"/>
        <w:spacing w:line="240" w:lineRule="auto"/>
        <w:contextualSpacing w:val="0"/>
      </w:pPr>
      <w:r w:rsidRPr="007447C6">
        <w:t xml:space="preserve">Руководитель детским коллективом обязан владеть широкими знаниями в собственной области. </w:t>
      </w:r>
      <w:r>
        <w:t>П</w:t>
      </w:r>
      <w:r w:rsidRPr="007447C6">
        <w:t xml:space="preserve">рофессиональное руководство детским коллективом невозможны без опоры на знания общих условий функционирования творческого процесса. Опираясь на уже имеющиеся методики работы с ансамблями народных инструментов, изложим перспективы развития этого направления исходя из комплексного внедрения в ансамбль деревянных </w:t>
      </w:r>
      <w:r>
        <w:t>духовых инструментов, р</w:t>
      </w:r>
      <w:r w:rsidRPr="007447C6">
        <w:t>аскроем проблему в частных аспектах, а именно: целесообразность применения деревянных духовых инструментов в ансамбле народных инструментов, подбор репертуара для данных составов и основные принципы инструментовки,  развитие исполнительского мастерства участников ансамбля.</w:t>
      </w:r>
    </w:p>
    <w:p w:rsidR="00BF2D85" w:rsidRPr="00E12F98" w:rsidRDefault="00BF2D85" w:rsidP="00E12F98">
      <w:pPr>
        <w:pStyle w:val="a"/>
        <w:spacing w:after="240" w:line="240" w:lineRule="auto"/>
        <w:ind w:firstLine="0"/>
      </w:pPr>
      <w:r w:rsidRPr="007447C6">
        <w:t xml:space="preserve">            Ансамбль народных инструментов был и остается самым демократичным и любимым народом музыкальным коллективом. Он может включать </w:t>
      </w:r>
      <w:r w:rsidRPr="007447C6">
        <w:rPr>
          <w:color w:val="000000"/>
        </w:rPr>
        <w:t xml:space="preserve">включает в свой состав следующие инструменты: </w:t>
      </w:r>
    </w:p>
    <w:p w:rsidR="00BF2D85" w:rsidRPr="007447C6" w:rsidRDefault="00BF2D85" w:rsidP="007447C6">
      <w:pPr>
        <w:numPr>
          <w:ilvl w:val="0"/>
          <w:numId w:val="3"/>
        </w:numPr>
        <w:spacing w:before="100" w:beforeAutospacing="1" w:after="100" w:afterAutospacing="1" w:line="240" w:lineRule="auto"/>
        <w:jc w:val="both"/>
        <w:rPr>
          <w:rFonts w:ascii="Times New Roman" w:hAnsi="Times New Roman"/>
          <w:color w:val="000000"/>
          <w:sz w:val="28"/>
          <w:szCs w:val="28"/>
          <w:lang w:eastAsia="ru-RU"/>
        </w:rPr>
      </w:pPr>
      <w:r w:rsidRPr="007447C6">
        <w:rPr>
          <w:rFonts w:ascii="Times New Roman" w:hAnsi="Times New Roman"/>
          <w:b/>
          <w:bCs/>
          <w:color w:val="000000"/>
          <w:sz w:val="28"/>
          <w:szCs w:val="28"/>
          <w:lang w:eastAsia="ru-RU"/>
        </w:rPr>
        <w:t xml:space="preserve">домры </w:t>
      </w:r>
      <w:r w:rsidRPr="007447C6">
        <w:rPr>
          <w:rFonts w:ascii="Times New Roman" w:hAnsi="Times New Roman"/>
          <w:color w:val="000000"/>
          <w:sz w:val="28"/>
          <w:szCs w:val="28"/>
          <w:lang w:eastAsia="ru-RU"/>
        </w:rPr>
        <w:t xml:space="preserve">– пикколо, малые, альтовые, басовые; </w:t>
      </w:r>
    </w:p>
    <w:p w:rsidR="00BF2D85" w:rsidRPr="007447C6" w:rsidRDefault="00BF2D85" w:rsidP="007447C6">
      <w:pPr>
        <w:numPr>
          <w:ilvl w:val="0"/>
          <w:numId w:val="3"/>
        </w:numPr>
        <w:spacing w:before="100" w:beforeAutospacing="1" w:after="100" w:afterAutospacing="1" w:line="240" w:lineRule="auto"/>
        <w:jc w:val="both"/>
        <w:rPr>
          <w:rFonts w:ascii="Times New Roman" w:hAnsi="Times New Roman"/>
          <w:color w:val="000000"/>
          <w:sz w:val="28"/>
          <w:szCs w:val="28"/>
          <w:lang w:eastAsia="ru-RU"/>
        </w:rPr>
      </w:pPr>
      <w:r w:rsidRPr="007447C6">
        <w:rPr>
          <w:rFonts w:ascii="Times New Roman" w:hAnsi="Times New Roman"/>
          <w:b/>
          <w:bCs/>
          <w:color w:val="000000"/>
          <w:sz w:val="28"/>
          <w:szCs w:val="28"/>
          <w:lang w:eastAsia="ru-RU"/>
        </w:rPr>
        <w:t>балалайки</w:t>
      </w:r>
      <w:r w:rsidRPr="007447C6">
        <w:rPr>
          <w:rFonts w:ascii="Times New Roman" w:hAnsi="Times New Roman"/>
          <w:color w:val="000000"/>
          <w:sz w:val="28"/>
          <w:szCs w:val="28"/>
          <w:lang w:eastAsia="ru-RU"/>
        </w:rPr>
        <w:t xml:space="preserve"> – примы, секунды, альты, басы, контрабасы; </w:t>
      </w:r>
    </w:p>
    <w:p w:rsidR="00BF2D85" w:rsidRPr="007447C6" w:rsidRDefault="00BF2D85" w:rsidP="007447C6">
      <w:pPr>
        <w:numPr>
          <w:ilvl w:val="0"/>
          <w:numId w:val="3"/>
        </w:numPr>
        <w:spacing w:before="100" w:beforeAutospacing="1" w:after="100" w:afterAutospacing="1" w:line="240" w:lineRule="auto"/>
        <w:jc w:val="both"/>
        <w:rPr>
          <w:rFonts w:ascii="Times New Roman" w:hAnsi="Times New Roman"/>
          <w:color w:val="000000"/>
          <w:sz w:val="28"/>
          <w:szCs w:val="28"/>
          <w:lang w:eastAsia="ru-RU"/>
        </w:rPr>
      </w:pPr>
      <w:r w:rsidRPr="007447C6">
        <w:rPr>
          <w:rFonts w:ascii="Times New Roman" w:hAnsi="Times New Roman"/>
          <w:b/>
          <w:bCs/>
          <w:color w:val="000000"/>
          <w:sz w:val="28"/>
          <w:szCs w:val="28"/>
          <w:lang w:eastAsia="ru-RU"/>
        </w:rPr>
        <w:t>баяны;</w:t>
      </w:r>
    </w:p>
    <w:p w:rsidR="00BF2D85" w:rsidRPr="007447C6" w:rsidRDefault="00BF2D85" w:rsidP="007447C6">
      <w:pPr>
        <w:numPr>
          <w:ilvl w:val="0"/>
          <w:numId w:val="3"/>
        </w:numPr>
        <w:spacing w:before="100" w:beforeAutospacing="1" w:after="100" w:afterAutospacing="1" w:line="240" w:lineRule="auto"/>
        <w:jc w:val="both"/>
        <w:rPr>
          <w:rFonts w:ascii="Times New Roman" w:hAnsi="Times New Roman"/>
          <w:color w:val="000000"/>
          <w:sz w:val="28"/>
          <w:szCs w:val="28"/>
          <w:lang w:eastAsia="ru-RU"/>
        </w:rPr>
      </w:pPr>
      <w:r w:rsidRPr="007447C6">
        <w:rPr>
          <w:rFonts w:ascii="Times New Roman" w:hAnsi="Times New Roman"/>
          <w:b/>
          <w:bCs/>
          <w:color w:val="000000"/>
          <w:sz w:val="28"/>
          <w:szCs w:val="28"/>
          <w:lang w:eastAsia="ru-RU"/>
        </w:rPr>
        <w:t>духовые инструменты</w:t>
      </w:r>
      <w:r w:rsidRPr="007447C6">
        <w:rPr>
          <w:rFonts w:ascii="Times New Roman" w:hAnsi="Times New Roman"/>
          <w:color w:val="000000"/>
          <w:sz w:val="28"/>
          <w:szCs w:val="28"/>
          <w:lang w:eastAsia="ru-RU"/>
        </w:rPr>
        <w:t xml:space="preserve"> – флейты, гобои; </w:t>
      </w:r>
    </w:p>
    <w:p w:rsidR="00BF2D85" w:rsidRPr="007447C6" w:rsidRDefault="00BF2D85" w:rsidP="007447C6">
      <w:pPr>
        <w:numPr>
          <w:ilvl w:val="0"/>
          <w:numId w:val="3"/>
        </w:numPr>
        <w:spacing w:before="100" w:beforeAutospacing="1" w:after="100" w:afterAutospacing="1" w:line="240" w:lineRule="auto"/>
        <w:jc w:val="both"/>
        <w:rPr>
          <w:rFonts w:ascii="Times New Roman" w:hAnsi="Times New Roman"/>
          <w:color w:val="000000"/>
          <w:sz w:val="28"/>
          <w:szCs w:val="28"/>
          <w:lang w:eastAsia="ru-RU"/>
        </w:rPr>
      </w:pPr>
      <w:r w:rsidRPr="007447C6">
        <w:rPr>
          <w:rFonts w:ascii="Times New Roman" w:hAnsi="Times New Roman"/>
          <w:b/>
          <w:bCs/>
          <w:color w:val="000000"/>
          <w:sz w:val="28"/>
          <w:szCs w:val="28"/>
          <w:lang w:eastAsia="ru-RU"/>
        </w:rPr>
        <w:t>ударные инструменты.</w:t>
      </w:r>
      <w:r w:rsidRPr="007447C6">
        <w:rPr>
          <w:rFonts w:ascii="Times New Roman" w:hAnsi="Times New Roman"/>
          <w:color w:val="000000"/>
          <w:sz w:val="28"/>
          <w:szCs w:val="28"/>
          <w:lang w:eastAsia="ru-RU"/>
        </w:rPr>
        <w:t xml:space="preserve"> </w:t>
      </w:r>
    </w:p>
    <w:p w:rsidR="00BF2D85" w:rsidRPr="007447C6" w:rsidRDefault="00BF2D85" w:rsidP="007447C6">
      <w:pPr>
        <w:spacing w:before="100" w:beforeAutospacing="1" w:after="100" w:afterAutospacing="1" w:line="240" w:lineRule="auto"/>
        <w:jc w:val="both"/>
        <w:rPr>
          <w:rFonts w:ascii="Times New Roman" w:hAnsi="Times New Roman"/>
          <w:color w:val="000000"/>
          <w:sz w:val="28"/>
          <w:szCs w:val="28"/>
          <w:lang w:eastAsia="ru-RU"/>
        </w:rPr>
      </w:pPr>
      <w:r w:rsidRPr="007447C6">
        <w:rPr>
          <w:rFonts w:ascii="Times New Roman" w:hAnsi="Times New Roman"/>
          <w:color w:val="000000"/>
          <w:sz w:val="28"/>
          <w:szCs w:val="28"/>
          <w:lang w:eastAsia="ru-RU"/>
        </w:rPr>
        <w:t xml:space="preserve">        В некоторых современных оркестровых составах применяется также ряд дополнительных инструментов – владимирские рожки, деревянные (помимо флейт и гобоев) и медные духовые инструменты из состава симфонического оркестра и т. д.</w:t>
      </w:r>
    </w:p>
    <w:p w:rsidR="00BF2D85" w:rsidRPr="007447C6" w:rsidRDefault="00BF2D85" w:rsidP="007447C6">
      <w:pPr>
        <w:pStyle w:val="NormalWeb"/>
        <w:jc w:val="both"/>
        <w:rPr>
          <w:sz w:val="28"/>
          <w:szCs w:val="28"/>
        </w:rPr>
      </w:pPr>
      <w:r w:rsidRPr="007447C6">
        <w:rPr>
          <w:sz w:val="28"/>
          <w:szCs w:val="28"/>
        </w:rPr>
        <w:t>В ДМШ №29  с 2012 года активную концертную деятельность ведёт ансамбль народных инструментов «Балагуры». Состав ансамбля: домры малые, домры альт, флейта (курай), баян, аккордеон, балалайки прим</w:t>
      </w:r>
      <w:r>
        <w:rPr>
          <w:sz w:val="28"/>
          <w:szCs w:val="28"/>
        </w:rPr>
        <w:t>ы, Балалайка контрабас, ударные</w:t>
      </w:r>
      <w:r w:rsidRPr="007447C6">
        <w:rPr>
          <w:sz w:val="28"/>
          <w:szCs w:val="28"/>
        </w:rPr>
        <w:t>. Один из принципов подбора репертуара для ансамблевого музицирования – возможность концертно-сценического исполнения и использования инструментов духовой группы в народном ансамбле.</w:t>
      </w:r>
    </w:p>
    <w:p w:rsidR="00BF2D85" w:rsidRPr="007447C6" w:rsidRDefault="00BF2D85" w:rsidP="007447C6">
      <w:pPr>
        <w:pStyle w:val="NormalWeb"/>
        <w:jc w:val="both"/>
        <w:rPr>
          <w:sz w:val="28"/>
          <w:szCs w:val="28"/>
        </w:rPr>
      </w:pPr>
      <w:r w:rsidRPr="007447C6">
        <w:rPr>
          <w:color w:val="000000"/>
          <w:sz w:val="28"/>
          <w:szCs w:val="28"/>
        </w:rPr>
        <w:t xml:space="preserve">Из деревянных духовых инструментов в составе народного оркестра применяются, главным образом, </w:t>
      </w:r>
      <w:r w:rsidRPr="007447C6">
        <w:rPr>
          <w:i/>
          <w:iCs/>
          <w:color w:val="000000"/>
          <w:sz w:val="28"/>
          <w:szCs w:val="28"/>
        </w:rPr>
        <w:t xml:space="preserve">флейты и гобои. </w:t>
      </w:r>
      <w:r w:rsidRPr="007447C6">
        <w:rPr>
          <w:color w:val="000000"/>
          <w:sz w:val="28"/>
          <w:szCs w:val="28"/>
        </w:rPr>
        <w:t xml:space="preserve">Начиная с 1950-х годов, эти инструменты прочно утвердились здесь; с середины 1970-х годов в ведущих оркестровых коллективах применяется их парный состав Эти инструменты наиболее близки но звуку и манере исполнения к русским лабиальным и язычковым духовым инструментам: </w:t>
      </w:r>
      <w:r w:rsidRPr="007447C6">
        <w:rPr>
          <w:i/>
          <w:iCs/>
          <w:color w:val="000000"/>
          <w:sz w:val="28"/>
          <w:szCs w:val="28"/>
        </w:rPr>
        <w:t>свирели, жалейке, брелке.</w:t>
      </w:r>
      <w:r w:rsidRPr="007447C6">
        <w:rPr>
          <w:color w:val="000000"/>
          <w:sz w:val="28"/>
          <w:szCs w:val="28"/>
        </w:rPr>
        <w:t xml:space="preserve"> Художественные результаты применения флейт и гобоев в народном оркестре уже к 1970-м гг. были настолько убедительны, что не оставляли никаких сомнений в их постоянном применении  в составе оркестра русских народных инструментов</w:t>
      </w:r>
      <w:r w:rsidRPr="007447C6">
        <w:rPr>
          <w:sz w:val="28"/>
          <w:szCs w:val="28"/>
        </w:rPr>
        <w:t>.</w:t>
      </w:r>
    </w:p>
    <w:p w:rsidR="00BF2D85" w:rsidRPr="007447C6" w:rsidRDefault="00BF2D85" w:rsidP="007447C6">
      <w:pPr>
        <w:pStyle w:val="NormalWeb"/>
        <w:jc w:val="both"/>
        <w:rPr>
          <w:sz w:val="28"/>
          <w:szCs w:val="28"/>
        </w:rPr>
      </w:pPr>
      <w:r w:rsidRPr="007447C6">
        <w:rPr>
          <w:sz w:val="28"/>
          <w:szCs w:val="28"/>
        </w:rPr>
        <w:t xml:space="preserve">Появление в штате ДМШ №29 преподавателя по классу гобоя Сабировой Г.Р. позволило расширить тембровый состав ансамбля. Из народных духовых инструментов при создании инструментовок активно включается курай.(См. инструментовки Р. Бакирова «Игра», М.Музафарова «Танец девушек»). Специально осуществленная инструментовка «Танец» из балета «Волшебный барабан» А.Алябьева включила в состав ансамбля духовые инструменты – флейту и гобой. </w:t>
      </w:r>
    </w:p>
    <w:p w:rsidR="00BF2D85" w:rsidRPr="007447C6" w:rsidRDefault="00BF2D85" w:rsidP="007447C6">
      <w:pPr>
        <w:keepNext/>
        <w:keepLines/>
        <w:spacing w:before="200" w:after="0" w:line="240" w:lineRule="auto"/>
        <w:jc w:val="center"/>
        <w:outlineLvl w:val="3"/>
        <w:rPr>
          <w:rFonts w:ascii="Times New Roman" w:hAnsi="Times New Roman"/>
          <w:bCs/>
          <w:i/>
          <w:iCs/>
          <w:color w:val="000000"/>
          <w:spacing w:val="60"/>
          <w:sz w:val="28"/>
          <w:szCs w:val="28"/>
          <w:u w:val="single"/>
          <w:lang w:eastAsia="ru-RU"/>
        </w:rPr>
      </w:pPr>
      <w:r w:rsidRPr="007447C6">
        <w:rPr>
          <w:rFonts w:ascii="Times New Roman" w:hAnsi="Times New Roman"/>
          <w:bCs/>
          <w:i/>
          <w:iCs/>
          <w:color w:val="000000"/>
          <w:spacing w:val="60"/>
          <w:sz w:val="28"/>
          <w:szCs w:val="28"/>
          <w:u w:val="single"/>
          <w:lang w:eastAsia="ru-RU"/>
        </w:rPr>
        <w:t>Некоторые моменты взаимодействия баянов и духовых инструментов  в инструментовках для ансамблей народных инструментов</w:t>
      </w:r>
    </w:p>
    <w:p w:rsidR="00BF2D85" w:rsidRPr="007447C6" w:rsidRDefault="00BF2D85" w:rsidP="007447C6">
      <w:pPr>
        <w:spacing w:after="0" w:line="240" w:lineRule="auto"/>
        <w:jc w:val="both"/>
        <w:rPr>
          <w:rFonts w:ascii="Times New Roman" w:hAnsi="Times New Roman"/>
          <w:color w:val="000000"/>
          <w:sz w:val="28"/>
          <w:szCs w:val="28"/>
          <w:lang w:eastAsia="ru-RU"/>
        </w:rPr>
      </w:pPr>
      <w:r w:rsidRPr="007447C6">
        <w:rPr>
          <w:rFonts w:ascii="Times New Roman" w:hAnsi="Times New Roman"/>
          <w:color w:val="000000"/>
          <w:sz w:val="28"/>
          <w:szCs w:val="28"/>
          <w:lang w:eastAsia="ru-RU"/>
        </w:rPr>
        <w:t>1.Духовые инструменты (флейты, гобои), соединённые в унисон со струнными (малыми и альтовыми домрами), образуют яркую, слитную звучность. </w:t>
      </w:r>
    </w:p>
    <w:p w:rsidR="00BF2D85" w:rsidRPr="007447C6" w:rsidRDefault="00BF2D85" w:rsidP="007447C6">
      <w:pPr>
        <w:spacing w:before="100" w:beforeAutospacing="1" w:after="100" w:afterAutospacing="1" w:line="240" w:lineRule="auto"/>
        <w:jc w:val="both"/>
        <w:outlineLvl w:val="3"/>
        <w:rPr>
          <w:rFonts w:ascii="Times New Roman" w:hAnsi="Times New Roman"/>
          <w:color w:val="000000"/>
          <w:sz w:val="28"/>
          <w:szCs w:val="28"/>
          <w:lang w:eastAsia="ru-RU"/>
        </w:rPr>
      </w:pPr>
      <w:r w:rsidRPr="007447C6">
        <w:rPr>
          <w:rFonts w:ascii="Times New Roman" w:hAnsi="Times New Roman"/>
          <w:color w:val="000000"/>
          <w:sz w:val="28"/>
          <w:szCs w:val="28"/>
          <w:lang w:eastAsia="ru-RU"/>
        </w:rPr>
        <w:t>2.Используется также типичный приём использования баянов и духовых инструментов в ансамбле, когда флейтам и гобоям поручается мелодия, а баянам – гармония (педаль или гармоническая фигурация). Подобные сочетания даёт, как правило, уравновешенную, благоприятную звучность с естественным выделением мелодического материала.</w:t>
      </w:r>
    </w:p>
    <w:p w:rsidR="00BF2D85" w:rsidRPr="007447C6" w:rsidRDefault="00BF2D85" w:rsidP="007447C6">
      <w:pPr>
        <w:pStyle w:val="NormalWeb"/>
        <w:jc w:val="both"/>
        <w:rPr>
          <w:sz w:val="28"/>
          <w:szCs w:val="28"/>
        </w:rPr>
      </w:pPr>
      <w:r w:rsidRPr="007447C6">
        <w:rPr>
          <w:bCs/>
          <w:iCs/>
          <w:color w:val="000000"/>
          <w:sz w:val="28"/>
          <w:szCs w:val="28"/>
        </w:rPr>
        <w:t>3.Соединённые в унисон флейта, гобой, баяны дают мощное, монолитное звучание, демонстрируя способность выступать в рамках единой тембровой группы.</w:t>
      </w:r>
    </w:p>
    <w:p w:rsidR="00BF2D85" w:rsidRPr="007447C6" w:rsidRDefault="00BF2D85" w:rsidP="007447C6">
      <w:pPr>
        <w:spacing w:before="100" w:beforeAutospacing="1" w:after="100" w:afterAutospacing="1" w:line="240" w:lineRule="auto"/>
        <w:jc w:val="both"/>
        <w:rPr>
          <w:rFonts w:ascii="Times New Roman" w:hAnsi="Times New Roman"/>
          <w:color w:val="000000"/>
          <w:sz w:val="28"/>
          <w:szCs w:val="28"/>
          <w:lang w:eastAsia="ru-RU"/>
        </w:rPr>
      </w:pPr>
      <w:r w:rsidRPr="007447C6">
        <w:rPr>
          <w:rFonts w:ascii="Times New Roman" w:hAnsi="Times New Roman"/>
          <w:color w:val="000000"/>
          <w:sz w:val="28"/>
          <w:szCs w:val="28"/>
          <w:lang w:eastAsia="ru-RU"/>
        </w:rPr>
        <w:t xml:space="preserve">       Что касается постоянного использования в народном оркестре других деревянных духовых инструментов, то мнение специалистов по данному вопросу далеко не однозначное. Приведём некоторые из них:</w:t>
      </w:r>
    </w:p>
    <w:p w:rsidR="00BF2D85" w:rsidRPr="007447C6" w:rsidRDefault="00BF2D85" w:rsidP="007447C6">
      <w:pPr>
        <w:spacing w:before="100" w:beforeAutospacing="1" w:after="100" w:afterAutospacing="1" w:line="240" w:lineRule="auto"/>
        <w:jc w:val="both"/>
        <w:rPr>
          <w:rFonts w:ascii="Times New Roman" w:hAnsi="Times New Roman"/>
          <w:color w:val="000000"/>
          <w:sz w:val="28"/>
          <w:szCs w:val="28"/>
          <w:lang w:eastAsia="ru-RU"/>
        </w:rPr>
      </w:pPr>
      <w:r w:rsidRPr="007447C6">
        <w:rPr>
          <w:rFonts w:ascii="Times New Roman" w:hAnsi="Times New Roman"/>
          <w:color w:val="000000"/>
          <w:sz w:val="28"/>
          <w:szCs w:val="28"/>
          <w:lang w:eastAsia="ru-RU"/>
        </w:rPr>
        <w:t xml:space="preserve">«И </w:t>
      </w:r>
      <w:r w:rsidRPr="007447C6">
        <w:rPr>
          <w:rFonts w:ascii="Times New Roman" w:hAnsi="Times New Roman"/>
          <w:i/>
          <w:iCs/>
          <w:color w:val="000000"/>
          <w:sz w:val="28"/>
          <w:szCs w:val="28"/>
          <w:lang w:eastAsia="ru-RU"/>
        </w:rPr>
        <w:t>фагот,</w:t>
      </w:r>
      <w:r w:rsidRPr="007447C6">
        <w:rPr>
          <w:rFonts w:ascii="Times New Roman" w:hAnsi="Times New Roman"/>
          <w:color w:val="000000"/>
          <w:sz w:val="28"/>
          <w:szCs w:val="28"/>
          <w:lang w:eastAsia="ru-RU"/>
        </w:rPr>
        <w:t xml:space="preserve"> и – тем более - </w:t>
      </w:r>
      <w:r w:rsidRPr="007447C6">
        <w:rPr>
          <w:rFonts w:ascii="Times New Roman" w:hAnsi="Times New Roman"/>
          <w:i/>
          <w:iCs/>
          <w:color w:val="000000"/>
          <w:sz w:val="28"/>
          <w:szCs w:val="28"/>
          <w:lang w:eastAsia="ru-RU"/>
        </w:rPr>
        <w:t>кларнет,</w:t>
      </w:r>
      <w:r w:rsidRPr="007447C6">
        <w:rPr>
          <w:rFonts w:ascii="Times New Roman" w:hAnsi="Times New Roman"/>
          <w:color w:val="000000"/>
          <w:sz w:val="28"/>
          <w:szCs w:val="28"/>
          <w:lang w:eastAsia="ru-RU"/>
        </w:rPr>
        <w:t xml:space="preserve"> разумеется, сами по себе неплохо сочетаются с баянами. Во всяком случае, такие соединения не вызывают обычно каких-либо затруднений в отношении динамики. </w:t>
      </w:r>
    </w:p>
    <w:p w:rsidR="00BF2D85" w:rsidRPr="007447C6" w:rsidRDefault="00BF2D85" w:rsidP="007447C6">
      <w:pPr>
        <w:spacing w:before="100" w:beforeAutospacing="1" w:after="100" w:afterAutospacing="1" w:line="240" w:lineRule="auto"/>
        <w:jc w:val="both"/>
        <w:rPr>
          <w:rFonts w:ascii="Times New Roman" w:hAnsi="Times New Roman"/>
          <w:color w:val="000000"/>
          <w:sz w:val="28"/>
          <w:szCs w:val="28"/>
          <w:lang w:eastAsia="ru-RU"/>
        </w:rPr>
      </w:pPr>
      <w:r w:rsidRPr="007447C6">
        <w:rPr>
          <w:rFonts w:ascii="Times New Roman" w:hAnsi="Times New Roman"/>
          <w:color w:val="000000"/>
          <w:sz w:val="28"/>
          <w:szCs w:val="28"/>
          <w:lang w:eastAsia="ru-RU"/>
        </w:rPr>
        <w:t xml:space="preserve">Существует, однако, ряд причин, ограничивающих применение этих инструментов в народном оркестре. Если </w:t>
      </w:r>
      <w:r w:rsidRPr="007447C6">
        <w:rPr>
          <w:rFonts w:ascii="Times New Roman" w:hAnsi="Times New Roman"/>
          <w:i/>
          <w:iCs/>
          <w:color w:val="000000"/>
          <w:sz w:val="28"/>
          <w:szCs w:val="28"/>
          <w:lang w:eastAsia="ru-RU"/>
        </w:rPr>
        <w:t>флейта</w:t>
      </w:r>
      <w:r w:rsidRPr="007447C6">
        <w:rPr>
          <w:rFonts w:ascii="Times New Roman" w:hAnsi="Times New Roman"/>
          <w:color w:val="000000"/>
          <w:sz w:val="28"/>
          <w:szCs w:val="28"/>
          <w:lang w:eastAsia="ru-RU"/>
        </w:rPr>
        <w:t xml:space="preserve"> и </w:t>
      </w:r>
      <w:r w:rsidRPr="007447C6">
        <w:rPr>
          <w:rFonts w:ascii="Times New Roman" w:hAnsi="Times New Roman"/>
          <w:i/>
          <w:iCs/>
          <w:color w:val="000000"/>
          <w:sz w:val="28"/>
          <w:szCs w:val="28"/>
          <w:lang w:eastAsia="ru-RU"/>
        </w:rPr>
        <w:t>гобой</w:t>
      </w:r>
      <w:r w:rsidRPr="007447C6">
        <w:rPr>
          <w:rFonts w:ascii="Times New Roman" w:hAnsi="Times New Roman"/>
          <w:color w:val="000000"/>
          <w:sz w:val="28"/>
          <w:szCs w:val="28"/>
          <w:lang w:eastAsia="ru-RU"/>
        </w:rPr>
        <w:t xml:space="preserve"> напоминают по своему звучанию русские народные духовые инструменты (свирель, жалейку, брелку), то </w:t>
      </w:r>
      <w:r w:rsidRPr="007447C6">
        <w:rPr>
          <w:rFonts w:ascii="Times New Roman" w:hAnsi="Times New Roman"/>
          <w:i/>
          <w:iCs/>
          <w:color w:val="000000"/>
          <w:sz w:val="28"/>
          <w:szCs w:val="28"/>
          <w:lang w:eastAsia="ru-RU"/>
        </w:rPr>
        <w:t>фагот</w:t>
      </w:r>
      <w:r w:rsidRPr="007447C6">
        <w:rPr>
          <w:rFonts w:ascii="Times New Roman" w:hAnsi="Times New Roman"/>
          <w:color w:val="000000"/>
          <w:sz w:val="28"/>
          <w:szCs w:val="28"/>
          <w:lang w:eastAsia="ru-RU"/>
        </w:rPr>
        <w:t xml:space="preserve"> и </w:t>
      </w:r>
      <w:r w:rsidRPr="007447C6">
        <w:rPr>
          <w:rFonts w:ascii="Times New Roman" w:hAnsi="Times New Roman"/>
          <w:i/>
          <w:iCs/>
          <w:color w:val="000000"/>
          <w:sz w:val="28"/>
          <w:szCs w:val="28"/>
          <w:lang w:eastAsia="ru-RU"/>
        </w:rPr>
        <w:t xml:space="preserve">кларнет </w:t>
      </w:r>
      <w:r w:rsidRPr="007447C6">
        <w:rPr>
          <w:rFonts w:ascii="Times New Roman" w:hAnsi="Times New Roman"/>
          <w:color w:val="000000"/>
          <w:sz w:val="28"/>
          <w:szCs w:val="28"/>
          <w:lang w:eastAsia="ru-RU"/>
        </w:rPr>
        <w:t>гораздо ближе в этом смысле к баянам. В этом плане можно отметить общее сходство тембров, например, кларнета и баяна (особенно заметное в пиано и пианиссимо), близость их диапазона, наиболее часто используемого в оркестровке, и т.д.</w:t>
      </w:r>
    </w:p>
    <w:p w:rsidR="00BF2D85" w:rsidRPr="007447C6" w:rsidRDefault="00BF2D85" w:rsidP="00FD2E5E">
      <w:pPr>
        <w:spacing w:after="0" w:line="240" w:lineRule="auto"/>
        <w:jc w:val="both"/>
        <w:rPr>
          <w:rFonts w:ascii="Times New Roman" w:hAnsi="Times New Roman"/>
          <w:color w:val="000000"/>
          <w:sz w:val="28"/>
          <w:szCs w:val="28"/>
          <w:lang w:eastAsia="ru-RU"/>
        </w:rPr>
      </w:pPr>
      <w:r w:rsidRPr="007447C6">
        <w:rPr>
          <w:rFonts w:ascii="Times New Roman" w:hAnsi="Times New Roman"/>
          <w:color w:val="000000"/>
          <w:sz w:val="28"/>
          <w:szCs w:val="28"/>
          <w:lang w:eastAsia="ru-RU"/>
        </w:rPr>
        <w:t xml:space="preserve">Оказывается, что в данном случае для баянов (и для оркестра в целом) «выгодно» именно различие, а не сходство тембров. В то время как флейты и гобои в ансамблевых сочетаниях с баянами не вступают с ними в своеобразную «конкуренцию» (с точки зрения восприятия их тембров) - звучание </w:t>
      </w:r>
      <w:r w:rsidRPr="007447C6">
        <w:rPr>
          <w:rFonts w:ascii="Times New Roman" w:hAnsi="Times New Roman"/>
          <w:i/>
          <w:iCs/>
          <w:color w:val="000000"/>
          <w:sz w:val="28"/>
          <w:szCs w:val="28"/>
          <w:lang w:eastAsia="ru-RU"/>
        </w:rPr>
        <w:t>кларнетов</w:t>
      </w:r>
      <w:r w:rsidRPr="007447C6">
        <w:rPr>
          <w:rFonts w:ascii="Times New Roman" w:hAnsi="Times New Roman"/>
          <w:color w:val="000000"/>
          <w:sz w:val="28"/>
          <w:szCs w:val="28"/>
          <w:lang w:eastAsia="ru-RU"/>
        </w:rPr>
        <w:t xml:space="preserve"> и </w:t>
      </w:r>
      <w:r w:rsidRPr="007447C6">
        <w:rPr>
          <w:rFonts w:ascii="Times New Roman" w:hAnsi="Times New Roman"/>
          <w:i/>
          <w:iCs/>
          <w:color w:val="000000"/>
          <w:sz w:val="28"/>
          <w:szCs w:val="28"/>
          <w:lang w:eastAsia="ru-RU"/>
        </w:rPr>
        <w:t>баянов</w:t>
      </w:r>
      <w:r w:rsidRPr="007447C6">
        <w:rPr>
          <w:rFonts w:ascii="Times New Roman" w:hAnsi="Times New Roman"/>
          <w:color w:val="000000"/>
          <w:sz w:val="28"/>
          <w:szCs w:val="28"/>
          <w:lang w:eastAsia="ru-RU"/>
        </w:rPr>
        <w:t xml:space="preserve"> невольно сопоставляется. При этом более насыщенный, выразительный тембр кларнета подчеркивает некоторую бедность обертонами звучания баянов. Поэтому, хорошее сочетание кларнета с </w:t>
      </w:r>
      <w:r w:rsidRPr="007447C6">
        <w:rPr>
          <w:rFonts w:ascii="Times New Roman" w:hAnsi="Times New Roman"/>
          <w:i/>
          <w:iCs/>
          <w:color w:val="000000"/>
          <w:sz w:val="28"/>
          <w:szCs w:val="28"/>
          <w:lang w:eastAsia="ru-RU"/>
        </w:rPr>
        <w:t>солирующим баяном</w:t>
      </w:r>
      <w:r w:rsidRPr="007447C6">
        <w:rPr>
          <w:rFonts w:ascii="Times New Roman" w:hAnsi="Times New Roman"/>
          <w:color w:val="000000"/>
          <w:sz w:val="28"/>
          <w:szCs w:val="28"/>
          <w:lang w:eastAsia="ru-RU"/>
        </w:rPr>
        <w:t xml:space="preserve"> не может считаться безоговорочным аргументом в пользу постоянного участия кларнетов в народном оркестре. Кларнеты, с одной стороны, не привносят какой-либо </w:t>
      </w:r>
      <w:r w:rsidRPr="007447C6">
        <w:rPr>
          <w:rFonts w:ascii="Times New Roman" w:hAnsi="Times New Roman"/>
          <w:i/>
          <w:iCs/>
          <w:color w:val="000000"/>
          <w:sz w:val="28"/>
          <w:szCs w:val="28"/>
          <w:lang w:eastAsia="ru-RU"/>
        </w:rPr>
        <w:t>принципиально новый существенный элемент</w:t>
      </w:r>
      <w:r w:rsidRPr="007447C6">
        <w:rPr>
          <w:rFonts w:ascii="Times New Roman" w:hAnsi="Times New Roman"/>
          <w:color w:val="000000"/>
          <w:sz w:val="28"/>
          <w:szCs w:val="28"/>
          <w:lang w:eastAsia="ru-RU"/>
        </w:rPr>
        <w:t xml:space="preserve"> (тембровый или технический) в состав народного оркестра; с другой - баянам и кларнетам (из-за близости тембров и технических возможностей) как бы «тесно» в составе одном группы.</w:t>
      </w:r>
    </w:p>
    <w:p w:rsidR="00BF2D85" w:rsidRPr="007447C6" w:rsidRDefault="00BF2D85" w:rsidP="00FD2E5E">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7447C6">
        <w:rPr>
          <w:rFonts w:ascii="Times New Roman" w:hAnsi="Times New Roman"/>
          <w:color w:val="000000"/>
          <w:sz w:val="28"/>
          <w:szCs w:val="28"/>
          <w:lang w:eastAsia="ru-RU"/>
        </w:rPr>
        <w:t xml:space="preserve">Использование </w:t>
      </w:r>
      <w:r w:rsidRPr="007447C6">
        <w:rPr>
          <w:rFonts w:ascii="Times New Roman" w:hAnsi="Times New Roman"/>
          <w:i/>
          <w:iCs/>
          <w:color w:val="000000"/>
          <w:sz w:val="28"/>
          <w:szCs w:val="28"/>
          <w:lang w:eastAsia="ru-RU"/>
        </w:rPr>
        <w:t>фагота</w:t>
      </w:r>
      <w:r w:rsidRPr="007447C6">
        <w:rPr>
          <w:rFonts w:ascii="Times New Roman" w:hAnsi="Times New Roman"/>
          <w:color w:val="000000"/>
          <w:sz w:val="28"/>
          <w:szCs w:val="28"/>
          <w:lang w:eastAsia="ru-RU"/>
        </w:rPr>
        <w:t xml:space="preserve"> также ограничено тем, что русский народный оркестр располагает инструментами, а именно - </w:t>
      </w:r>
      <w:r w:rsidRPr="007447C6">
        <w:rPr>
          <w:rFonts w:ascii="Times New Roman" w:hAnsi="Times New Roman"/>
          <w:i/>
          <w:iCs/>
          <w:color w:val="000000"/>
          <w:sz w:val="28"/>
          <w:szCs w:val="28"/>
          <w:lang w:eastAsia="ru-RU"/>
        </w:rPr>
        <w:t>баянами бас, контрабас и многотембровыми баянами</w:t>
      </w:r>
      <w:r w:rsidRPr="007447C6">
        <w:rPr>
          <w:rFonts w:ascii="Times New Roman" w:hAnsi="Times New Roman"/>
          <w:color w:val="000000"/>
          <w:sz w:val="28"/>
          <w:szCs w:val="28"/>
          <w:lang w:eastAsia="ru-RU"/>
        </w:rPr>
        <w:t xml:space="preserve"> (один из регистров которых, кстати, так и называется – </w:t>
      </w:r>
      <w:r w:rsidRPr="007447C6">
        <w:rPr>
          <w:rFonts w:ascii="Times New Roman" w:hAnsi="Times New Roman"/>
          <w:i/>
          <w:iCs/>
          <w:color w:val="000000"/>
          <w:sz w:val="28"/>
          <w:szCs w:val="28"/>
          <w:lang w:eastAsia="ru-RU"/>
        </w:rPr>
        <w:t>«фагот»</w:t>
      </w:r>
      <w:r w:rsidRPr="007447C6">
        <w:rPr>
          <w:rFonts w:ascii="Times New Roman" w:hAnsi="Times New Roman"/>
          <w:color w:val="000000"/>
          <w:sz w:val="28"/>
          <w:szCs w:val="28"/>
          <w:lang w:eastAsia="ru-RU"/>
        </w:rPr>
        <w:t>), способными обеспечить нижний регистр духовой группы. Эти инструменты имеют большой диапазон, чрезвычайно подвижны в техническом отношении, выразительны в различных артикуляционных приемах: legato, non legato, staccato, обладают насыщенным, достаточно мощным звучанием. Кроме того, в динамическом плане они более соответствуют средствам народного оркестра в целом».</w:t>
      </w:r>
    </w:p>
    <w:p w:rsidR="00BF2D85" w:rsidRPr="007447C6" w:rsidRDefault="00BF2D85" w:rsidP="00FD2E5E">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bookmarkStart w:id="0" w:name="_GoBack"/>
      <w:bookmarkEnd w:id="0"/>
      <w:r w:rsidRPr="007447C6">
        <w:rPr>
          <w:rFonts w:ascii="Times New Roman" w:hAnsi="Times New Roman"/>
          <w:sz w:val="28"/>
          <w:szCs w:val="28"/>
          <w:lang w:eastAsia="ru-RU"/>
        </w:rPr>
        <w:t>Совершенствование образовательного процесса на отделениях духовых инструментов учреждений дополнительного образования  необходимо строить с позиций современных методологических подходов (компетентностного, личностно-ориентированного), концепций ранней профессиональной адаптации, эмоционально выверенного управления</w:t>
      </w:r>
      <w:r>
        <w:rPr>
          <w:rFonts w:ascii="Times New Roman" w:hAnsi="Times New Roman"/>
          <w:sz w:val="28"/>
          <w:szCs w:val="28"/>
          <w:lang w:eastAsia="ru-RU"/>
        </w:rPr>
        <w:t xml:space="preserve"> ансамблем</w:t>
      </w:r>
      <w:r w:rsidRPr="007447C6">
        <w:rPr>
          <w:rFonts w:ascii="Times New Roman" w:hAnsi="Times New Roman"/>
          <w:sz w:val="28"/>
          <w:szCs w:val="28"/>
          <w:lang w:eastAsia="ru-RU"/>
        </w:rPr>
        <w:t xml:space="preserve">. </w:t>
      </w:r>
    </w:p>
    <w:p w:rsidR="00BF2D85" w:rsidRPr="007447C6" w:rsidRDefault="00BF2D85" w:rsidP="00FD2E5E">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7447C6">
        <w:rPr>
          <w:rFonts w:ascii="Times New Roman" w:hAnsi="Times New Roman"/>
          <w:sz w:val="28"/>
          <w:szCs w:val="28"/>
          <w:lang w:eastAsia="ru-RU"/>
        </w:rPr>
        <w:t xml:space="preserve">Коллективная деятельность с первых же дней преображала начинающих музыкантов. От занятия к занятию они становились более общительными, увлеченными предметом, дружными, активными. В конце первого года обучения участники ансамбля продемонстрировали высокую мотивированность к обучению, увлеченность общим делом, открытость всем видам деятельности, предлагаемым в ансамбле. Можно констатировать, что этап профессиональной адаптации пройден успешно. </w:t>
      </w:r>
    </w:p>
    <w:p w:rsidR="00BF2D85" w:rsidRPr="007447C6" w:rsidRDefault="00BF2D85" w:rsidP="007447C6">
      <w:pPr>
        <w:spacing w:before="100" w:beforeAutospacing="1" w:after="100" w:afterAutospacing="1" w:line="240" w:lineRule="auto"/>
        <w:jc w:val="both"/>
        <w:rPr>
          <w:rFonts w:ascii="Times New Roman" w:hAnsi="Times New Roman"/>
          <w:sz w:val="28"/>
          <w:szCs w:val="28"/>
          <w:lang w:eastAsia="ru-RU"/>
        </w:rPr>
      </w:pPr>
    </w:p>
    <w:p w:rsidR="00BF2D85" w:rsidRPr="00966EAD" w:rsidRDefault="00BF2D85" w:rsidP="00CC2C57">
      <w:pPr>
        <w:spacing w:line="240" w:lineRule="auto"/>
        <w:jc w:val="both"/>
        <w:rPr>
          <w:rFonts w:ascii="Times New Roman" w:hAnsi="Times New Roman"/>
          <w:b/>
          <w:sz w:val="32"/>
          <w:szCs w:val="32"/>
        </w:rPr>
      </w:pPr>
    </w:p>
    <w:sectPr w:rsidR="00BF2D85" w:rsidRPr="00966EAD" w:rsidSect="00712E4A">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4802"/>
    <w:multiLevelType w:val="multilevel"/>
    <w:tmpl w:val="55F03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C85F38"/>
    <w:multiLevelType w:val="multilevel"/>
    <w:tmpl w:val="494EA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A4853F3"/>
    <w:multiLevelType w:val="hybridMultilevel"/>
    <w:tmpl w:val="C46C0972"/>
    <w:lvl w:ilvl="0" w:tplc="0409000F">
      <w:start w:val="1"/>
      <w:numFmt w:val="decimal"/>
      <w:lvlText w:val="%1."/>
      <w:lvlJc w:val="left"/>
      <w:pPr>
        <w:tabs>
          <w:tab w:val="num" w:pos="795"/>
        </w:tabs>
        <w:ind w:left="795" w:hanging="360"/>
      </w:pPr>
      <w:rPr>
        <w:rFonts w:cs="Times New Roman"/>
      </w:rPr>
    </w:lvl>
    <w:lvl w:ilvl="1" w:tplc="04090019">
      <w:start w:val="1"/>
      <w:numFmt w:val="lowerLetter"/>
      <w:lvlText w:val="%2."/>
      <w:lvlJc w:val="left"/>
      <w:pPr>
        <w:tabs>
          <w:tab w:val="num" w:pos="1515"/>
        </w:tabs>
        <w:ind w:left="1515" w:hanging="360"/>
      </w:pPr>
      <w:rPr>
        <w:rFonts w:cs="Times New Roman"/>
      </w:rPr>
    </w:lvl>
    <w:lvl w:ilvl="2" w:tplc="0409001B">
      <w:start w:val="1"/>
      <w:numFmt w:val="lowerRoman"/>
      <w:lvlText w:val="%3."/>
      <w:lvlJc w:val="right"/>
      <w:pPr>
        <w:tabs>
          <w:tab w:val="num" w:pos="2235"/>
        </w:tabs>
        <w:ind w:left="2235" w:hanging="180"/>
      </w:pPr>
      <w:rPr>
        <w:rFonts w:cs="Times New Roman"/>
      </w:rPr>
    </w:lvl>
    <w:lvl w:ilvl="3" w:tplc="0409000F">
      <w:start w:val="1"/>
      <w:numFmt w:val="decimal"/>
      <w:lvlText w:val="%4."/>
      <w:lvlJc w:val="left"/>
      <w:pPr>
        <w:tabs>
          <w:tab w:val="num" w:pos="2955"/>
        </w:tabs>
        <w:ind w:left="2955" w:hanging="360"/>
      </w:pPr>
      <w:rPr>
        <w:rFonts w:cs="Times New Roman"/>
      </w:rPr>
    </w:lvl>
    <w:lvl w:ilvl="4" w:tplc="04090019">
      <w:start w:val="1"/>
      <w:numFmt w:val="lowerLetter"/>
      <w:lvlText w:val="%5."/>
      <w:lvlJc w:val="left"/>
      <w:pPr>
        <w:tabs>
          <w:tab w:val="num" w:pos="3675"/>
        </w:tabs>
        <w:ind w:left="3675" w:hanging="360"/>
      </w:pPr>
      <w:rPr>
        <w:rFonts w:cs="Times New Roman"/>
      </w:rPr>
    </w:lvl>
    <w:lvl w:ilvl="5" w:tplc="0409001B">
      <w:start w:val="1"/>
      <w:numFmt w:val="lowerRoman"/>
      <w:lvlText w:val="%6."/>
      <w:lvlJc w:val="right"/>
      <w:pPr>
        <w:tabs>
          <w:tab w:val="num" w:pos="4395"/>
        </w:tabs>
        <w:ind w:left="4395" w:hanging="180"/>
      </w:pPr>
      <w:rPr>
        <w:rFonts w:cs="Times New Roman"/>
      </w:rPr>
    </w:lvl>
    <w:lvl w:ilvl="6" w:tplc="0409000F">
      <w:start w:val="1"/>
      <w:numFmt w:val="decimal"/>
      <w:lvlText w:val="%7."/>
      <w:lvlJc w:val="left"/>
      <w:pPr>
        <w:tabs>
          <w:tab w:val="num" w:pos="5115"/>
        </w:tabs>
        <w:ind w:left="5115" w:hanging="360"/>
      </w:pPr>
      <w:rPr>
        <w:rFonts w:cs="Times New Roman"/>
      </w:rPr>
    </w:lvl>
    <w:lvl w:ilvl="7" w:tplc="04090019">
      <w:start w:val="1"/>
      <w:numFmt w:val="lowerLetter"/>
      <w:lvlText w:val="%8."/>
      <w:lvlJc w:val="left"/>
      <w:pPr>
        <w:tabs>
          <w:tab w:val="num" w:pos="5835"/>
        </w:tabs>
        <w:ind w:left="5835" w:hanging="360"/>
      </w:pPr>
      <w:rPr>
        <w:rFonts w:cs="Times New Roman"/>
      </w:rPr>
    </w:lvl>
    <w:lvl w:ilvl="8" w:tplc="0409001B">
      <w:start w:val="1"/>
      <w:numFmt w:val="lowerRoman"/>
      <w:lvlText w:val="%9."/>
      <w:lvlJc w:val="right"/>
      <w:pPr>
        <w:tabs>
          <w:tab w:val="num" w:pos="6555"/>
        </w:tabs>
        <w:ind w:left="6555" w:hanging="180"/>
      </w:pPr>
      <w:rPr>
        <w:rFonts w:cs="Times New Roman"/>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14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66EAD"/>
    <w:rsid w:val="00014265"/>
    <w:rsid w:val="000765E7"/>
    <w:rsid w:val="00137C7F"/>
    <w:rsid w:val="001B1820"/>
    <w:rsid w:val="002163FA"/>
    <w:rsid w:val="00267622"/>
    <w:rsid w:val="00272276"/>
    <w:rsid w:val="002C44FA"/>
    <w:rsid w:val="00322DF3"/>
    <w:rsid w:val="00435C97"/>
    <w:rsid w:val="00497CF2"/>
    <w:rsid w:val="00596D1A"/>
    <w:rsid w:val="00611386"/>
    <w:rsid w:val="006B6B1B"/>
    <w:rsid w:val="006E460F"/>
    <w:rsid w:val="00712E4A"/>
    <w:rsid w:val="007447C6"/>
    <w:rsid w:val="007B324D"/>
    <w:rsid w:val="007D042D"/>
    <w:rsid w:val="00930C38"/>
    <w:rsid w:val="00966EAD"/>
    <w:rsid w:val="00987211"/>
    <w:rsid w:val="009E79C5"/>
    <w:rsid w:val="00A717D1"/>
    <w:rsid w:val="00AA1D0F"/>
    <w:rsid w:val="00AD2058"/>
    <w:rsid w:val="00B55C8A"/>
    <w:rsid w:val="00BF2D85"/>
    <w:rsid w:val="00C243B1"/>
    <w:rsid w:val="00CA1FE7"/>
    <w:rsid w:val="00CC2C57"/>
    <w:rsid w:val="00DF513A"/>
    <w:rsid w:val="00E04093"/>
    <w:rsid w:val="00E12F98"/>
    <w:rsid w:val="00E81C8E"/>
    <w:rsid w:val="00EB067D"/>
    <w:rsid w:val="00F91F8F"/>
    <w:rsid w:val="00FA7ED9"/>
    <w:rsid w:val="00FD2E5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820"/>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АА"/>
    <w:basedOn w:val="Normal"/>
    <w:uiPriority w:val="99"/>
    <w:rsid w:val="002163FA"/>
    <w:pPr>
      <w:spacing w:after="0" w:line="360" w:lineRule="auto"/>
      <w:ind w:firstLine="709"/>
      <w:contextualSpacing/>
      <w:jc w:val="both"/>
    </w:pPr>
    <w:rPr>
      <w:rFonts w:ascii="Times New Roman" w:eastAsia="Times New Roman" w:hAnsi="Times New Roman"/>
      <w:sz w:val="28"/>
      <w:szCs w:val="28"/>
    </w:rPr>
  </w:style>
  <w:style w:type="paragraph" w:styleId="BalloonText">
    <w:name w:val="Balloon Text"/>
    <w:basedOn w:val="Normal"/>
    <w:link w:val="BalloonTextChar"/>
    <w:uiPriority w:val="99"/>
    <w:semiHidden/>
    <w:rsid w:val="00CA1F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1FE7"/>
    <w:rPr>
      <w:rFonts w:ascii="Tahoma" w:hAnsi="Tahoma" w:cs="Tahoma"/>
      <w:sz w:val="16"/>
      <w:szCs w:val="16"/>
    </w:rPr>
  </w:style>
  <w:style w:type="paragraph" w:styleId="NormalWeb">
    <w:name w:val="Normal (Web)"/>
    <w:basedOn w:val="Normal"/>
    <w:uiPriority w:val="99"/>
    <w:rsid w:val="007D042D"/>
    <w:pPr>
      <w:spacing w:before="100" w:beforeAutospacing="1" w:after="100" w:afterAutospacing="1" w:line="240" w:lineRule="auto"/>
    </w:pPr>
    <w:rPr>
      <w:rFonts w:ascii="Times New Roman" w:eastAsia="Times New Roman" w:hAnsi="Times New Roman"/>
      <w:sz w:val="24"/>
      <w:szCs w:val="24"/>
      <w:lang w:eastAsia="ru-RU"/>
    </w:rPr>
  </w:style>
  <w:style w:type="character" w:styleId="Hyperlink">
    <w:name w:val="Hyperlink"/>
    <w:basedOn w:val="DefaultParagraphFont"/>
    <w:uiPriority w:val="99"/>
    <w:rsid w:val="00014265"/>
    <w:rPr>
      <w:rFonts w:cs="Times New Roman"/>
      <w:color w:val="0066CC"/>
      <w:u w:val="none"/>
      <w:effect w:val="none"/>
    </w:rPr>
  </w:style>
  <w:style w:type="paragraph" w:customStyle="1" w:styleId="p13">
    <w:name w:val="p13"/>
    <w:basedOn w:val="Normal"/>
    <w:uiPriority w:val="99"/>
    <w:rsid w:val="00014265"/>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4678268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Ya.innafer05-08@ya.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388</TotalTime>
  <Pages>5</Pages>
  <Words>1519</Words>
  <Characters>8661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инна</dc:creator>
  <cp:keywords/>
  <dc:description/>
  <cp:lastModifiedBy>инна</cp:lastModifiedBy>
  <cp:revision>18</cp:revision>
  <dcterms:created xsi:type="dcterms:W3CDTF">2013-11-09T22:07:00Z</dcterms:created>
  <dcterms:modified xsi:type="dcterms:W3CDTF">2022-10-19T08:53:00Z</dcterms:modified>
</cp:coreProperties>
</file>